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39994" w14:textId="7CF4483E" w:rsidR="00FF0712" w:rsidRDefault="00FF0712" w:rsidP="00E267DD">
      <w:pPr>
        <w:spacing w:after="0" w:line="240" w:lineRule="auto"/>
        <w:jc w:val="center"/>
        <w:rPr>
          <w:b/>
          <w:bCs/>
          <w:iCs/>
          <w:sz w:val="28"/>
          <w:szCs w:val="28"/>
        </w:rPr>
      </w:pPr>
      <w:bookmarkStart w:id="0" w:name="_GoBack"/>
      <w:bookmarkEnd w:id="0"/>
      <w:r w:rsidRPr="00FF0712">
        <w:rPr>
          <w:b/>
          <w:bCs/>
          <w:iCs/>
          <w:sz w:val="28"/>
          <w:szCs w:val="28"/>
        </w:rPr>
        <w:t>ОБОБЩЕННЫЕ ОТВЕТЫ НА ВОПРОСЫ,</w:t>
      </w:r>
    </w:p>
    <w:p w14:paraId="15377BB7" w14:textId="77777777" w:rsidR="00FF0712" w:rsidRDefault="00FF0712" w:rsidP="00E267DD">
      <w:pPr>
        <w:spacing w:after="0" w:line="240" w:lineRule="auto"/>
        <w:jc w:val="center"/>
        <w:rPr>
          <w:b/>
          <w:bCs/>
          <w:iCs/>
          <w:sz w:val="28"/>
          <w:szCs w:val="28"/>
        </w:rPr>
      </w:pPr>
      <w:r w:rsidRPr="00FF0712">
        <w:rPr>
          <w:b/>
          <w:bCs/>
          <w:iCs/>
          <w:sz w:val="28"/>
          <w:szCs w:val="28"/>
        </w:rPr>
        <w:t>ПОСТУПИВШИЕ В ХОДЕ ПУБЛИЧНОГО ОБСУЖДЕНИЯ</w:t>
      </w:r>
    </w:p>
    <w:p w14:paraId="0C91D0C2" w14:textId="77777777" w:rsidR="00FF0712" w:rsidRPr="00FF0712" w:rsidRDefault="00FF0712" w:rsidP="00FF0712">
      <w:pPr>
        <w:jc w:val="center"/>
        <w:rPr>
          <w:b/>
          <w:sz w:val="28"/>
          <w:szCs w:val="28"/>
        </w:rPr>
      </w:pPr>
    </w:p>
    <w:tbl>
      <w:tblPr>
        <w:tblStyle w:val="a3"/>
        <w:tblW w:w="10740" w:type="dxa"/>
        <w:tblLook w:val="04A0" w:firstRow="1" w:lastRow="0" w:firstColumn="1" w:lastColumn="0" w:noHBand="0" w:noVBand="1"/>
      </w:tblPr>
      <w:tblGrid>
        <w:gridCol w:w="594"/>
        <w:gridCol w:w="3413"/>
        <w:gridCol w:w="6733"/>
      </w:tblGrid>
      <w:tr w:rsidR="00A61D93" w:rsidRPr="00713E1E" w14:paraId="7DD70892" w14:textId="77777777" w:rsidTr="00713E1E">
        <w:tc>
          <w:tcPr>
            <w:tcW w:w="594" w:type="dxa"/>
            <w:vAlign w:val="center"/>
          </w:tcPr>
          <w:p w14:paraId="51025B92" w14:textId="77777777" w:rsidR="00A61D93" w:rsidRPr="00713E1E" w:rsidRDefault="00A61D93" w:rsidP="00457EC6">
            <w:pPr>
              <w:spacing w:line="360" w:lineRule="auto"/>
              <w:jc w:val="center"/>
              <w:rPr>
                <w:rFonts w:ascii="Times New Roman" w:hAnsi="Times New Roman" w:cs="Times New Roman"/>
                <w:sz w:val="28"/>
                <w:szCs w:val="28"/>
              </w:rPr>
            </w:pPr>
            <w:r w:rsidRPr="00713E1E">
              <w:rPr>
                <w:rFonts w:ascii="Times New Roman" w:hAnsi="Times New Roman" w:cs="Times New Roman"/>
                <w:sz w:val="28"/>
                <w:szCs w:val="28"/>
              </w:rPr>
              <w:t>№ п/п</w:t>
            </w:r>
          </w:p>
        </w:tc>
        <w:tc>
          <w:tcPr>
            <w:tcW w:w="3413" w:type="dxa"/>
            <w:vAlign w:val="center"/>
          </w:tcPr>
          <w:p w14:paraId="627FD99C" w14:textId="77777777" w:rsidR="00A61D93" w:rsidRPr="00713E1E" w:rsidRDefault="00A61D93" w:rsidP="00457EC6">
            <w:pPr>
              <w:spacing w:line="360" w:lineRule="auto"/>
              <w:jc w:val="center"/>
              <w:rPr>
                <w:rFonts w:ascii="Times New Roman" w:hAnsi="Times New Roman" w:cs="Times New Roman"/>
                <w:sz w:val="28"/>
                <w:szCs w:val="28"/>
              </w:rPr>
            </w:pPr>
            <w:r w:rsidRPr="00713E1E">
              <w:rPr>
                <w:rFonts w:ascii="Times New Roman" w:hAnsi="Times New Roman" w:cs="Times New Roman"/>
                <w:sz w:val="28"/>
                <w:szCs w:val="28"/>
              </w:rPr>
              <w:t>Вопрос</w:t>
            </w:r>
          </w:p>
        </w:tc>
        <w:tc>
          <w:tcPr>
            <w:tcW w:w="6733" w:type="dxa"/>
            <w:vAlign w:val="center"/>
          </w:tcPr>
          <w:p w14:paraId="5DCC3340" w14:textId="77777777" w:rsidR="00A61D93" w:rsidRPr="00713E1E" w:rsidRDefault="00B856C4" w:rsidP="00B856C4">
            <w:pPr>
              <w:spacing w:line="360" w:lineRule="auto"/>
              <w:jc w:val="center"/>
              <w:rPr>
                <w:rFonts w:ascii="Times New Roman" w:hAnsi="Times New Roman" w:cs="Times New Roman"/>
                <w:sz w:val="28"/>
                <w:szCs w:val="28"/>
              </w:rPr>
            </w:pPr>
            <w:r w:rsidRPr="00713E1E">
              <w:rPr>
                <w:rFonts w:ascii="Times New Roman" w:hAnsi="Times New Roman" w:cs="Times New Roman"/>
                <w:sz w:val="28"/>
                <w:szCs w:val="28"/>
              </w:rPr>
              <w:t>О</w:t>
            </w:r>
            <w:r w:rsidR="00A61D93" w:rsidRPr="00713E1E">
              <w:rPr>
                <w:rFonts w:ascii="Times New Roman" w:hAnsi="Times New Roman" w:cs="Times New Roman"/>
                <w:sz w:val="28"/>
                <w:szCs w:val="28"/>
              </w:rPr>
              <w:t>твет</w:t>
            </w:r>
            <w:r>
              <w:rPr>
                <w:rFonts w:ascii="Times New Roman" w:hAnsi="Times New Roman" w:cs="Times New Roman"/>
                <w:sz w:val="28"/>
                <w:szCs w:val="28"/>
              </w:rPr>
              <w:t xml:space="preserve"> </w:t>
            </w:r>
          </w:p>
        </w:tc>
      </w:tr>
      <w:tr w:rsidR="00546363" w:rsidRPr="00713E1E" w14:paraId="1FCC0370" w14:textId="77777777" w:rsidTr="00713E1E">
        <w:tc>
          <w:tcPr>
            <w:tcW w:w="594" w:type="dxa"/>
          </w:tcPr>
          <w:p w14:paraId="3D70BF93" w14:textId="77777777" w:rsidR="00546363" w:rsidRPr="00713E1E" w:rsidRDefault="00546363" w:rsidP="00AF1CB8">
            <w:pPr>
              <w:pStyle w:val="a4"/>
              <w:numPr>
                <w:ilvl w:val="0"/>
                <w:numId w:val="1"/>
              </w:numPr>
              <w:spacing w:line="360" w:lineRule="auto"/>
              <w:rPr>
                <w:rFonts w:ascii="Times New Roman" w:hAnsi="Times New Roman" w:cs="Times New Roman"/>
                <w:sz w:val="28"/>
                <w:szCs w:val="28"/>
                <w:lang w:val="en-US"/>
              </w:rPr>
            </w:pPr>
          </w:p>
        </w:tc>
        <w:tc>
          <w:tcPr>
            <w:tcW w:w="3413" w:type="dxa"/>
          </w:tcPr>
          <w:p w14:paraId="29725208" w14:textId="06377712" w:rsidR="00546363" w:rsidRPr="00713E1E"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Допускается совместный спуск (подъём) средств инициирования и взрывчатых веществ по наклонному стволу шахты</w:t>
            </w:r>
            <w:r w:rsidR="00546363" w:rsidRPr="00713E1E">
              <w:rPr>
                <w:rFonts w:ascii="Times New Roman" w:hAnsi="Times New Roman" w:cs="Times New Roman"/>
                <w:sz w:val="28"/>
                <w:szCs w:val="28"/>
              </w:rPr>
              <w:t>?</w:t>
            </w:r>
          </w:p>
        </w:tc>
        <w:tc>
          <w:tcPr>
            <w:tcW w:w="6733" w:type="dxa"/>
          </w:tcPr>
          <w:p w14:paraId="25A7E2E4"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Не допускается.</w:t>
            </w:r>
          </w:p>
          <w:p w14:paraId="21C1B867" w14:textId="34B81873" w:rsidR="00546363" w:rsidRPr="00713E1E"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Спуск-подьем взрывчатых материалов по стволу шахты производится раздельно, средства инициирования должны спускать (поднимать) отдельно от взрывчатых материалов, в соответствии пункта 38 Федеральных норм и правил в области промышленной безопасности «Правила безопасности при взрывных работах», утвержденных приказом Федеральной службы по экологическому, технологическому и атомному надзору от 16.12.2013 № 605, зарегистрированных в Министерстве юстиции Российской Федерации  1 апреля 2014 г., регистрационный № 31796</w:t>
            </w:r>
            <w:r w:rsidR="00546363" w:rsidRPr="00713E1E">
              <w:rPr>
                <w:rFonts w:ascii="Times New Roman" w:hAnsi="Times New Roman" w:cs="Times New Roman"/>
                <w:sz w:val="28"/>
                <w:szCs w:val="28"/>
              </w:rPr>
              <w:t>.</w:t>
            </w:r>
          </w:p>
        </w:tc>
      </w:tr>
      <w:tr w:rsidR="00C241B2" w:rsidRPr="00713E1E" w14:paraId="60EC65D0" w14:textId="77777777" w:rsidTr="00713E1E">
        <w:tc>
          <w:tcPr>
            <w:tcW w:w="594" w:type="dxa"/>
          </w:tcPr>
          <w:p w14:paraId="4BB651AD" w14:textId="77777777" w:rsidR="00C241B2" w:rsidRPr="00713E1E" w:rsidRDefault="00C241B2" w:rsidP="00AF1CB8">
            <w:pPr>
              <w:pStyle w:val="a4"/>
              <w:numPr>
                <w:ilvl w:val="0"/>
                <w:numId w:val="1"/>
              </w:numPr>
              <w:spacing w:line="360" w:lineRule="auto"/>
              <w:rPr>
                <w:rFonts w:ascii="Times New Roman" w:hAnsi="Times New Roman" w:cs="Times New Roman"/>
                <w:sz w:val="28"/>
                <w:szCs w:val="28"/>
                <w:lang w:val="en-US"/>
              </w:rPr>
            </w:pPr>
          </w:p>
        </w:tc>
        <w:tc>
          <w:tcPr>
            <w:tcW w:w="3413" w:type="dxa"/>
          </w:tcPr>
          <w:p w14:paraId="2C683C15" w14:textId="77B045C9"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Кто может получить профессию взрывника?</w:t>
            </w:r>
          </w:p>
        </w:tc>
        <w:tc>
          <w:tcPr>
            <w:tcW w:w="6733" w:type="dxa"/>
          </w:tcPr>
          <w:p w14:paraId="020D6D2F"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Согласно Федеральным нормам и правилам в области промышленной безопасности «Правила безопасности при взрывных работах», утвержденных приказом Федеральной службы по экологическому, технологическому и атомному надзору от 16.12.2013 № 605, зарегистрированных в Министерстве юстиции Российской Федерации 1 апреля 2014 г., регистрационный №31796 профессию взрывника могут получить только лица мужского пола, имеющие:</w:t>
            </w:r>
          </w:p>
          <w:p w14:paraId="582250A8"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 среднее образование;</w:t>
            </w:r>
          </w:p>
          <w:p w14:paraId="377D19CC"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 xml:space="preserve">- стаж работы в шахтах, опасных по газу или пыли, - стаж на подземных работах проходчика или рабочего </w:t>
            </w:r>
            <w:r w:rsidRPr="00C241B2">
              <w:rPr>
                <w:rFonts w:ascii="Times New Roman" w:hAnsi="Times New Roman" w:cs="Times New Roman"/>
                <w:sz w:val="28"/>
                <w:szCs w:val="28"/>
              </w:rPr>
              <w:lastRenderedPageBreak/>
              <w:t>очистного забоя не менее двух лет; на всех других взрывных работах - стаж работы не менее одного года по специальности, соответствующей профилю работ организации;</w:t>
            </w:r>
          </w:p>
          <w:p w14:paraId="55536CA4"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прошедших соответствующее обучение;</w:t>
            </w:r>
          </w:p>
          <w:p w14:paraId="7C7BBEFE"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 не имеющие медицинских противопоказаний.</w:t>
            </w:r>
          </w:p>
          <w:p w14:paraId="35D5AA20" w14:textId="6C0CB18B"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Номенклатура специальностей, позволяющих получить профессию взрывника, разрабатывается организацией и согласовывается с территориальным органом исполнительной власти в области промышленной безопасности/</w:t>
            </w:r>
          </w:p>
        </w:tc>
      </w:tr>
      <w:tr w:rsidR="00C241B2" w:rsidRPr="00713E1E" w14:paraId="0C227E81" w14:textId="77777777" w:rsidTr="00713E1E">
        <w:tc>
          <w:tcPr>
            <w:tcW w:w="594" w:type="dxa"/>
          </w:tcPr>
          <w:p w14:paraId="774B32B2" w14:textId="77777777" w:rsidR="00C241B2" w:rsidRPr="00713E1E" w:rsidRDefault="00C241B2" w:rsidP="00AF1CB8">
            <w:pPr>
              <w:pStyle w:val="a4"/>
              <w:numPr>
                <w:ilvl w:val="0"/>
                <w:numId w:val="1"/>
              </w:numPr>
              <w:spacing w:line="360" w:lineRule="auto"/>
              <w:rPr>
                <w:rFonts w:ascii="Times New Roman" w:hAnsi="Times New Roman" w:cs="Times New Roman"/>
                <w:sz w:val="28"/>
                <w:szCs w:val="28"/>
                <w:lang w:val="en-US"/>
              </w:rPr>
            </w:pPr>
          </w:p>
        </w:tc>
        <w:tc>
          <w:tcPr>
            <w:tcW w:w="3413" w:type="dxa"/>
          </w:tcPr>
          <w:p w14:paraId="1AE4C842" w14:textId="404CAED4"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Нужно-ли доводить до сведения жителей населенных пунктов, не примыкающих к опасной зоне при взрывных работах на земной поверхности способы подачи, назначение сигналов и время производства взрывных работ?</w:t>
            </w:r>
          </w:p>
        </w:tc>
        <w:tc>
          <w:tcPr>
            <w:tcW w:w="6733" w:type="dxa"/>
          </w:tcPr>
          <w:p w14:paraId="55E34D8A" w14:textId="3489E972"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Согласно пункту 175 Федеральных норм и правил в области промышленной безопасности «Правила безопасности при взрывных работах», утвержденных приказом Федеральной службы по экологическому, технологическому и атомному надзору от 16.12.2013 № 605, зарегистрированных в Министерстве юстиции Российской Федерации 1 апреля 2014 г., регистрационный №31796 способы подачи и назначение сигналов, время производства взрывных работ должны быть доведены до сведения персонала организации, а при взрывных работах на земной поверхности - до жителей населенных пунктов, примыкающих к опасной зоне</w:t>
            </w:r>
          </w:p>
        </w:tc>
      </w:tr>
      <w:tr w:rsidR="00C241B2" w:rsidRPr="00713E1E" w14:paraId="6578BAD8" w14:textId="77777777" w:rsidTr="00713E1E">
        <w:tc>
          <w:tcPr>
            <w:tcW w:w="594" w:type="dxa"/>
          </w:tcPr>
          <w:p w14:paraId="43D9DB18" w14:textId="77777777" w:rsidR="00C241B2" w:rsidRPr="00713E1E" w:rsidRDefault="00C241B2" w:rsidP="00AF1CB8">
            <w:pPr>
              <w:pStyle w:val="a4"/>
              <w:numPr>
                <w:ilvl w:val="0"/>
                <w:numId w:val="1"/>
              </w:numPr>
              <w:spacing w:line="360" w:lineRule="auto"/>
              <w:rPr>
                <w:rFonts w:ascii="Times New Roman" w:hAnsi="Times New Roman" w:cs="Times New Roman"/>
                <w:sz w:val="28"/>
                <w:szCs w:val="28"/>
                <w:lang w:val="en-US"/>
              </w:rPr>
            </w:pPr>
          </w:p>
        </w:tc>
        <w:tc>
          <w:tcPr>
            <w:tcW w:w="3413" w:type="dxa"/>
          </w:tcPr>
          <w:p w14:paraId="17B710D9" w14:textId="6C0F138D"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 xml:space="preserve">Обязаны ли организации-недропользователи разрабатывать и согласовывать с Ростехнадзором России или его территориальным органом «Положение о </w:t>
            </w:r>
            <w:r w:rsidRPr="00C241B2">
              <w:rPr>
                <w:rFonts w:ascii="Times New Roman" w:hAnsi="Times New Roman" w:cs="Times New Roman"/>
                <w:sz w:val="28"/>
                <w:szCs w:val="28"/>
              </w:rPr>
              <w:lastRenderedPageBreak/>
              <w:t>геологическом и маркшейдерском обеспечении промышленной безопасности и охраны недр» и «Методику расчета необходимой численности маркшейдеров при ведении геолого-маркшейдерского обеспечения»?</w:t>
            </w:r>
          </w:p>
        </w:tc>
        <w:tc>
          <w:tcPr>
            <w:tcW w:w="6733" w:type="dxa"/>
          </w:tcPr>
          <w:p w14:paraId="650E023D" w14:textId="5A90D46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lastRenderedPageBreak/>
              <w:t xml:space="preserve">В соответствии с  п. 20  и  п.23  Положения о геологическом и маркшейдерском обеспечении промышленной безопасности и охраны недр (РД 07-408-01), утв. постановлением Госгортехнадзора России от 22.05.2001 № 18, зарегистрировано Министерством юстиции РФ 05.06.2001. Организации-недропользователи разрабатывают </w:t>
            </w:r>
            <w:r w:rsidRPr="00C241B2">
              <w:rPr>
                <w:rFonts w:ascii="Times New Roman" w:hAnsi="Times New Roman" w:cs="Times New Roman"/>
                <w:sz w:val="28"/>
                <w:szCs w:val="28"/>
              </w:rPr>
              <w:lastRenderedPageBreak/>
              <w:t>положения о службах главного геолога и главного маркшейдера, которые утверждаются руководителем организации-недропользователя по согласованию с Госгортехнадзором России или его территориальным органом. Численность служб организации определяется в соответствии с методикой, которую утверждает руководитель организации по согласованию с территориальным органом Госгортехнадзора России</w:t>
            </w:r>
            <w:r>
              <w:rPr>
                <w:rFonts w:ascii="Times New Roman" w:hAnsi="Times New Roman" w:cs="Times New Roman"/>
                <w:sz w:val="28"/>
                <w:szCs w:val="28"/>
              </w:rPr>
              <w:t>.</w:t>
            </w:r>
          </w:p>
        </w:tc>
      </w:tr>
      <w:tr w:rsidR="00C241B2" w:rsidRPr="00713E1E" w14:paraId="2B3855FF" w14:textId="77777777" w:rsidTr="00713E1E">
        <w:tc>
          <w:tcPr>
            <w:tcW w:w="594" w:type="dxa"/>
          </w:tcPr>
          <w:p w14:paraId="6CDD5CAB" w14:textId="77777777" w:rsidR="00C241B2" w:rsidRPr="00713E1E" w:rsidRDefault="00C241B2" w:rsidP="00AF1CB8">
            <w:pPr>
              <w:pStyle w:val="a4"/>
              <w:numPr>
                <w:ilvl w:val="0"/>
                <w:numId w:val="1"/>
              </w:numPr>
              <w:spacing w:line="360" w:lineRule="auto"/>
              <w:rPr>
                <w:rFonts w:ascii="Times New Roman" w:hAnsi="Times New Roman" w:cs="Times New Roman"/>
                <w:sz w:val="28"/>
                <w:szCs w:val="28"/>
                <w:lang w:val="en-US"/>
              </w:rPr>
            </w:pPr>
          </w:p>
        </w:tc>
        <w:tc>
          <w:tcPr>
            <w:tcW w:w="3413" w:type="dxa"/>
          </w:tcPr>
          <w:p w14:paraId="03390A4E" w14:textId="485A25C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В каком случае соискателю лицензии производства маркшейдерских работ необходима организация производственного контроля за соблюдением требований промышленной безопасности при ведении горных работ и установленными требованиями в области производства маркшейдерских работ?</w:t>
            </w:r>
          </w:p>
        </w:tc>
        <w:tc>
          <w:tcPr>
            <w:tcW w:w="6733" w:type="dxa"/>
          </w:tcPr>
          <w:p w14:paraId="3E4D0151" w14:textId="0102035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Согласно п.п. б) п.4 «Положения о лицензировании производства маркшейдерских работ», утв. постановлением Правительства Российской Федерации от 28.03.2012 № 257; организация производственного контроля за соблюдением требований промышленной безопасности при ведении горных работ в соответствии с Федеральным законом «О промышленной безопасности опасных производственных объектов» и установленными требованиями в области производства маркшейдерских работ (в случае если соискатель лицензии является недропользователем)</w:t>
            </w:r>
          </w:p>
        </w:tc>
      </w:tr>
      <w:tr w:rsidR="00C241B2" w:rsidRPr="00713E1E" w14:paraId="66497802" w14:textId="77777777" w:rsidTr="00713E1E">
        <w:tc>
          <w:tcPr>
            <w:tcW w:w="594" w:type="dxa"/>
          </w:tcPr>
          <w:p w14:paraId="0F347C0D" w14:textId="77777777" w:rsidR="00C241B2" w:rsidRPr="00713E1E" w:rsidRDefault="00C241B2" w:rsidP="00AF1CB8">
            <w:pPr>
              <w:pStyle w:val="a4"/>
              <w:numPr>
                <w:ilvl w:val="0"/>
                <w:numId w:val="1"/>
              </w:numPr>
              <w:spacing w:line="360" w:lineRule="auto"/>
              <w:rPr>
                <w:rFonts w:ascii="Times New Roman" w:hAnsi="Times New Roman" w:cs="Times New Roman"/>
                <w:sz w:val="28"/>
                <w:szCs w:val="28"/>
                <w:lang w:val="en-US"/>
              </w:rPr>
            </w:pPr>
          </w:p>
        </w:tc>
        <w:tc>
          <w:tcPr>
            <w:tcW w:w="3413" w:type="dxa"/>
          </w:tcPr>
          <w:p w14:paraId="6B87B93E" w14:textId="323524AD"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Имеет ли право руководитель организации быть ответственным за организацию и осуществление производственного контроля на ОПО?</w:t>
            </w:r>
          </w:p>
        </w:tc>
        <w:tc>
          <w:tcPr>
            <w:tcW w:w="6733" w:type="dxa"/>
          </w:tcPr>
          <w:p w14:paraId="50DA6B0B" w14:textId="705FE03C"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утверждёнными постановлением Правительства Российской Федерации от 10.03.1999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не установлен запрет на возложение обязанностей за организацию и осуществление  производственного контроля на руководителя организации</w:t>
            </w:r>
          </w:p>
        </w:tc>
      </w:tr>
      <w:tr w:rsidR="00C241B2" w:rsidRPr="00713E1E" w14:paraId="782AC25B" w14:textId="77777777" w:rsidTr="00713E1E">
        <w:tc>
          <w:tcPr>
            <w:tcW w:w="594" w:type="dxa"/>
          </w:tcPr>
          <w:p w14:paraId="25E2B428" w14:textId="77777777" w:rsidR="00C241B2" w:rsidRPr="00713E1E" w:rsidRDefault="00C241B2" w:rsidP="00AF1CB8">
            <w:pPr>
              <w:pStyle w:val="a4"/>
              <w:numPr>
                <w:ilvl w:val="0"/>
                <w:numId w:val="1"/>
              </w:numPr>
              <w:spacing w:line="360" w:lineRule="auto"/>
              <w:rPr>
                <w:rFonts w:ascii="Times New Roman" w:hAnsi="Times New Roman" w:cs="Times New Roman"/>
                <w:sz w:val="28"/>
                <w:szCs w:val="28"/>
                <w:lang w:val="en-US"/>
              </w:rPr>
            </w:pPr>
          </w:p>
        </w:tc>
        <w:tc>
          <w:tcPr>
            <w:tcW w:w="3413" w:type="dxa"/>
          </w:tcPr>
          <w:p w14:paraId="05262752" w14:textId="4722A188"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Требуется ли заключение договора на обслуживание с аварийно-спасательным формированием при эксплуатации ОПО?</w:t>
            </w:r>
          </w:p>
        </w:tc>
        <w:tc>
          <w:tcPr>
            <w:tcW w:w="6733" w:type="dxa"/>
          </w:tcPr>
          <w:p w14:paraId="1CD34F43"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Частью 1 статьи 10 Федерального закона определено, что организация, эксплуатирующая опасный производственный объект, обязана заключать с профессиональными аварийно-спасательными службами или профессиональными аварийно-спасательными формированиями договоры на обслуживание, а в случаях, предусмотренных указанным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14:paraId="23BF2CEA" w14:textId="667C81D0"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Из вышеизложенного следует, что требование о заключении договора на обслуживание с профессиональными аварийно-спасательными службами или профессиональными аварийно-спасательными формированиями распространяется на все опасные производственные объекты, независимо от их класса опасности</w:t>
            </w:r>
            <w:r>
              <w:rPr>
                <w:rFonts w:ascii="Times New Roman" w:hAnsi="Times New Roman" w:cs="Times New Roman"/>
                <w:sz w:val="28"/>
                <w:szCs w:val="28"/>
              </w:rPr>
              <w:t>.</w:t>
            </w:r>
          </w:p>
        </w:tc>
      </w:tr>
      <w:tr w:rsidR="00C241B2" w:rsidRPr="00713E1E" w14:paraId="2197FE57" w14:textId="77777777" w:rsidTr="00713E1E">
        <w:tc>
          <w:tcPr>
            <w:tcW w:w="594" w:type="dxa"/>
          </w:tcPr>
          <w:p w14:paraId="13B000E8" w14:textId="77777777" w:rsidR="00C241B2" w:rsidRPr="00713E1E" w:rsidRDefault="00C241B2" w:rsidP="00AF1CB8">
            <w:pPr>
              <w:pStyle w:val="a4"/>
              <w:numPr>
                <w:ilvl w:val="0"/>
                <w:numId w:val="1"/>
              </w:numPr>
              <w:spacing w:line="360" w:lineRule="auto"/>
              <w:rPr>
                <w:rFonts w:ascii="Times New Roman" w:hAnsi="Times New Roman" w:cs="Times New Roman"/>
                <w:sz w:val="28"/>
                <w:szCs w:val="28"/>
                <w:lang w:val="en-US"/>
              </w:rPr>
            </w:pPr>
          </w:p>
        </w:tc>
        <w:tc>
          <w:tcPr>
            <w:tcW w:w="3413" w:type="dxa"/>
          </w:tcPr>
          <w:p w14:paraId="621F7A9B" w14:textId="6542A4BF"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Проверяющие всегда требуют журнал учета проверок. Если у недропользователя отсутствует журнал учета проверок?</w:t>
            </w:r>
          </w:p>
        </w:tc>
        <w:tc>
          <w:tcPr>
            <w:tcW w:w="6733" w:type="dxa"/>
          </w:tcPr>
          <w:p w14:paraId="6CAF713C" w14:textId="37BB6B5B"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В случае отсутствия журнала учета проверок, лицо органа контроля, проводившее проверку, делает соответствующую запись в акте проверки об отсутствии журнала</w:t>
            </w:r>
            <w:r>
              <w:rPr>
                <w:rFonts w:ascii="Times New Roman" w:hAnsi="Times New Roman" w:cs="Times New Roman"/>
                <w:sz w:val="28"/>
                <w:szCs w:val="28"/>
              </w:rPr>
              <w:t>.</w:t>
            </w:r>
          </w:p>
        </w:tc>
      </w:tr>
      <w:tr w:rsidR="00C241B2" w:rsidRPr="00713E1E" w14:paraId="592691FD" w14:textId="77777777" w:rsidTr="00713E1E">
        <w:tc>
          <w:tcPr>
            <w:tcW w:w="594" w:type="dxa"/>
          </w:tcPr>
          <w:p w14:paraId="5AD7DFDD" w14:textId="77777777" w:rsidR="00C241B2" w:rsidRPr="00C241B2" w:rsidRDefault="00C241B2" w:rsidP="00AF1CB8">
            <w:pPr>
              <w:pStyle w:val="a4"/>
              <w:numPr>
                <w:ilvl w:val="0"/>
                <w:numId w:val="1"/>
              </w:numPr>
              <w:spacing w:line="360" w:lineRule="auto"/>
              <w:rPr>
                <w:rFonts w:ascii="Times New Roman" w:hAnsi="Times New Roman" w:cs="Times New Roman"/>
                <w:sz w:val="28"/>
                <w:szCs w:val="28"/>
              </w:rPr>
            </w:pPr>
          </w:p>
        </w:tc>
        <w:tc>
          <w:tcPr>
            <w:tcW w:w="3413" w:type="dxa"/>
          </w:tcPr>
          <w:p w14:paraId="26B4040B" w14:textId="21D34E62"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Если к предпринимателю пришли проводить проверку неожиданно, без предупреждения?</w:t>
            </w:r>
          </w:p>
        </w:tc>
        <w:tc>
          <w:tcPr>
            <w:tcW w:w="6733" w:type="dxa"/>
          </w:tcPr>
          <w:p w14:paraId="630BDCE8" w14:textId="46DC9E4F"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Без предупреждения орган контроля вправе проводить внеплановую проверку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возникли или могут возникнуть чрезвычайные ситуации природного и техногенного характера</w:t>
            </w:r>
          </w:p>
        </w:tc>
      </w:tr>
      <w:tr w:rsidR="00C241B2" w:rsidRPr="00713E1E" w14:paraId="2C850E77" w14:textId="77777777" w:rsidTr="00713E1E">
        <w:tc>
          <w:tcPr>
            <w:tcW w:w="594" w:type="dxa"/>
          </w:tcPr>
          <w:p w14:paraId="7863AE8C" w14:textId="77777777" w:rsidR="00C241B2" w:rsidRPr="00C241B2" w:rsidRDefault="00C241B2" w:rsidP="00AF1CB8">
            <w:pPr>
              <w:pStyle w:val="a4"/>
              <w:numPr>
                <w:ilvl w:val="0"/>
                <w:numId w:val="1"/>
              </w:numPr>
              <w:spacing w:line="360" w:lineRule="auto"/>
              <w:rPr>
                <w:rFonts w:ascii="Times New Roman" w:hAnsi="Times New Roman" w:cs="Times New Roman"/>
                <w:sz w:val="28"/>
                <w:szCs w:val="28"/>
              </w:rPr>
            </w:pPr>
          </w:p>
        </w:tc>
        <w:tc>
          <w:tcPr>
            <w:tcW w:w="3413" w:type="dxa"/>
          </w:tcPr>
          <w:p w14:paraId="232C1C4F" w14:textId="2805C938"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Какой минимальный состав собственной комиссии по промышленной безопасности и при каком количестве членов комиссии ее работа считается правомочной?</w:t>
            </w:r>
          </w:p>
        </w:tc>
        <w:tc>
          <w:tcPr>
            <w:tcW w:w="6733" w:type="dxa"/>
          </w:tcPr>
          <w:p w14:paraId="6E46C874" w14:textId="33F303FD"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Согласно подпункту г) пункта 3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утвержденного постановлением Правительства Российской Федерации от 25.10.2019 № 1365, аттестация проводится аттестационными комиссиями, формируемыми: организациями (далее - аттестационные комиссии организаций). Организацией могут быть сформированы главная аттестационная комиссия и отдельные аттестационные комиссии в обособленных подразделениях организации, а также могут быть сформированы специализированные аттестационные комиссии организации для одной или нескольких областей аттестации (2 и более организации, являющиеся группой лиц в соответствии с антимонопольным законодательством Российской Федерации, могут сформировать единую аттестационную комиссию)</w:t>
            </w:r>
            <w:r>
              <w:rPr>
                <w:rFonts w:ascii="Times New Roman" w:hAnsi="Times New Roman" w:cs="Times New Roman"/>
                <w:sz w:val="28"/>
                <w:szCs w:val="28"/>
              </w:rPr>
              <w:t>.</w:t>
            </w:r>
          </w:p>
        </w:tc>
      </w:tr>
      <w:tr w:rsidR="00C241B2" w:rsidRPr="00713E1E" w14:paraId="6D1789A7" w14:textId="77777777" w:rsidTr="00713E1E">
        <w:tc>
          <w:tcPr>
            <w:tcW w:w="594" w:type="dxa"/>
          </w:tcPr>
          <w:p w14:paraId="26300D76" w14:textId="77777777" w:rsidR="00C241B2" w:rsidRPr="00C241B2" w:rsidRDefault="00C241B2" w:rsidP="00AF1CB8">
            <w:pPr>
              <w:pStyle w:val="a4"/>
              <w:numPr>
                <w:ilvl w:val="0"/>
                <w:numId w:val="1"/>
              </w:numPr>
              <w:spacing w:line="360" w:lineRule="auto"/>
              <w:rPr>
                <w:rFonts w:ascii="Times New Roman" w:hAnsi="Times New Roman" w:cs="Times New Roman"/>
                <w:sz w:val="28"/>
                <w:szCs w:val="28"/>
              </w:rPr>
            </w:pPr>
          </w:p>
        </w:tc>
        <w:tc>
          <w:tcPr>
            <w:tcW w:w="3413" w:type="dxa"/>
          </w:tcPr>
          <w:p w14:paraId="18E8AAEC"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По каким областям аттестации по промышленной безопасности должен быть аттестован генеральный директор Общества, если в его должностные обязанности не входит осуществление функций:</w:t>
            </w:r>
          </w:p>
          <w:p w14:paraId="30F1E6FE"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w:t>
            </w:r>
            <w:r w:rsidRPr="00C241B2">
              <w:rPr>
                <w:rFonts w:ascii="Times New Roman" w:hAnsi="Times New Roman" w:cs="Times New Roman"/>
                <w:sz w:val="28"/>
                <w:szCs w:val="28"/>
              </w:rPr>
              <w:tab/>
              <w:t>в качестве члена аттестационной комиссии организации, осуществляющей деятельность в области промышленной безопасности;</w:t>
            </w:r>
          </w:p>
          <w:p w14:paraId="4B376E26"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w:t>
            </w:r>
            <w:r w:rsidRPr="00C241B2">
              <w:rPr>
                <w:rFonts w:ascii="Times New Roman" w:hAnsi="Times New Roman" w:cs="Times New Roman"/>
                <w:sz w:val="28"/>
                <w:szCs w:val="28"/>
              </w:rPr>
              <w:tab/>
              <w:t>производственного контроля за соблюдением требований промышленной безопасности организации, эксплуатирующей опасный производственный объект;</w:t>
            </w:r>
          </w:p>
          <w:p w14:paraId="28897369"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w:t>
            </w:r>
            <w:r w:rsidRPr="00C241B2">
              <w:rPr>
                <w:rFonts w:ascii="Times New Roman" w:hAnsi="Times New Roman" w:cs="Times New Roman"/>
                <w:sz w:val="28"/>
                <w:szCs w:val="28"/>
              </w:rPr>
              <w:tab/>
              <w:t>авторского надзора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w:t>
            </w:r>
          </w:p>
          <w:p w14:paraId="1C813D23" w14:textId="3C1D4130"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w:t>
            </w:r>
            <w:r w:rsidRPr="00C241B2">
              <w:rPr>
                <w:rFonts w:ascii="Times New Roman" w:hAnsi="Times New Roman" w:cs="Times New Roman"/>
                <w:sz w:val="28"/>
                <w:szCs w:val="28"/>
              </w:rPr>
              <w:tab/>
              <w:t>строительного контроля при осуществлении строительства, реконструкции и капитального ремонта опасного производственного объекта?</w:t>
            </w:r>
          </w:p>
        </w:tc>
        <w:tc>
          <w:tcPr>
            <w:tcW w:w="6733" w:type="dxa"/>
          </w:tcPr>
          <w:p w14:paraId="1157228C"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аттестация), в том числе категории работников, проходящих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 установлен 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утвержденным постановлением Правительства Российской Федерации от 25.10.2019 № 1365.</w:t>
            </w:r>
          </w:p>
          <w:p w14:paraId="56D50DBB"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Аттестацию, в том числе первичную аттестацию в случаях, предусмотренных пунктом 3 статьи 14.1 Федерального закона от 21.07.1997 №116-ФЗ «О промышленной безопасности опасных производственных объектов», проходят работники следующих категорий:</w:t>
            </w:r>
          </w:p>
          <w:p w14:paraId="467C939A"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 а также индивидуальные предприниматели, осуществляющие профессиональную деятельность, указанную выше.</w:t>
            </w:r>
          </w:p>
          <w:p w14:paraId="34375E87"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б) должностные лица, на которых возложены функции по осуществлению производственного контроля за соблюдением требований промышленной безопасности на опасных производственных объектах;</w:t>
            </w:r>
          </w:p>
          <w:p w14:paraId="4B3223E1"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в) инженерно-технические работники, осуществляющие профессиональную деятельность, предусмотренную пунктом 1 статьи 14.1 Федерального закона от 21.07.1997 №116-ФЗ «О промышленной безопасности опасных производственных объектов»;</w:t>
            </w:r>
          </w:p>
          <w:p w14:paraId="5D97497A"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г) не указанные в подпунктах "а" - "в" настоящего пункта работники, являющиеся членами аттестационных комиссий организаций;</w:t>
            </w:r>
          </w:p>
          <w:p w14:paraId="0FEAA5E4"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д) диспетчеры субъектов оперативно-диспетчерского управления в электроэнергетике.</w:t>
            </w:r>
          </w:p>
          <w:p w14:paraId="25133651" w14:textId="446508ED"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r>
              <w:rPr>
                <w:rFonts w:ascii="Times New Roman" w:hAnsi="Times New Roman" w:cs="Times New Roman"/>
                <w:sz w:val="28"/>
                <w:szCs w:val="28"/>
              </w:rPr>
              <w:t>.</w:t>
            </w:r>
          </w:p>
        </w:tc>
      </w:tr>
      <w:tr w:rsidR="00C241B2" w:rsidRPr="00713E1E" w14:paraId="211E665B" w14:textId="77777777" w:rsidTr="00713E1E">
        <w:tc>
          <w:tcPr>
            <w:tcW w:w="594" w:type="dxa"/>
          </w:tcPr>
          <w:p w14:paraId="3980A85E" w14:textId="77777777" w:rsidR="00C241B2" w:rsidRPr="00C241B2" w:rsidRDefault="00C241B2" w:rsidP="00AF1CB8">
            <w:pPr>
              <w:pStyle w:val="a4"/>
              <w:numPr>
                <w:ilvl w:val="0"/>
                <w:numId w:val="1"/>
              </w:numPr>
              <w:spacing w:line="360" w:lineRule="auto"/>
              <w:rPr>
                <w:rFonts w:ascii="Times New Roman" w:hAnsi="Times New Roman" w:cs="Times New Roman"/>
                <w:sz w:val="28"/>
                <w:szCs w:val="28"/>
              </w:rPr>
            </w:pPr>
          </w:p>
        </w:tc>
        <w:tc>
          <w:tcPr>
            <w:tcW w:w="3413" w:type="dxa"/>
          </w:tcPr>
          <w:p w14:paraId="1EEBADB6"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С какими аварийно-спасательными службами возможно заключение договора на обслуживание ОПО в 2020 году, имеющих «СВИДЕТЕЛЬСТВО об аттестации на право ведения аварийно-спасательных работ», по следующим видам:</w:t>
            </w:r>
          </w:p>
          <w:p w14:paraId="5273D4D7"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w:t>
            </w:r>
            <w:r w:rsidRPr="00C241B2">
              <w:rPr>
                <w:rFonts w:ascii="Times New Roman" w:hAnsi="Times New Roman" w:cs="Times New Roman"/>
                <w:sz w:val="28"/>
                <w:szCs w:val="28"/>
              </w:rPr>
              <w:tab/>
              <w:t>поисково-спасательные работы;</w:t>
            </w:r>
          </w:p>
          <w:p w14:paraId="40B91F03"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w:t>
            </w:r>
            <w:r w:rsidRPr="00C241B2">
              <w:rPr>
                <w:rFonts w:ascii="Times New Roman" w:hAnsi="Times New Roman" w:cs="Times New Roman"/>
                <w:sz w:val="28"/>
                <w:szCs w:val="28"/>
              </w:rPr>
              <w:tab/>
              <w:t>газоспасательные работы;</w:t>
            </w:r>
          </w:p>
          <w:p w14:paraId="18E786F1"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w:t>
            </w:r>
            <w:r w:rsidRPr="00C241B2">
              <w:rPr>
                <w:rFonts w:ascii="Times New Roman" w:hAnsi="Times New Roman" w:cs="Times New Roman"/>
                <w:sz w:val="28"/>
                <w:szCs w:val="28"/>
              </w:rPr>
              <w:tab/>
              <w:t>аварийно-спасательные работы, связанные с тушением пожаров?</w:t>
            </w:r>
          </w:p>
          <w:p w14:paraId="05307EA8" w14:textId="77777777" w:rsidR="00C241B2" w:rsidRPr="00C241B2" w:rsidRDefault="00C241B2" w:rsidP="00E267DD">
            <w:pPr>
              <w:spacing w:line="360" w:lineRule="auto"/>
              <w:jc w:val="both"/>
              <w:rPr>
                <w:rFonts w:ascii="Times New Roman" w:hAnsi="Times New Roman" w:cs="Times New Roman"/>
                <w:sz w:val="28"/>
                <w:szCs w:val="28"/>
              </w:rPr>
            </w:pPr>
          </w:p>
          <w:p w14:paraId="3077A1DD"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 xml:space="preserve">Ранее заключали с ГКУ РО «Ростовской областной поисково-спасательной службой» </w:t>
            </w:r>
          </w:p>
          <w:p w14:paraId="17C7E2DC" w14:textId="788962EA"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г. Новошахтинск, возможно ли c ней продолжить сотрудничество?</w:t>
            </w:r>
          </w:p>
        </w:tc>
        <w:tc>
          <w:tcPr>
            <w:tcW w:w="6733" w:type="dxa"/>
          </w:tcPr>
          <w:p w14:paraId="7B5331CD"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В соответствии с пунктом 344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Федеральной службы по экологическому, технологическому и атомному надзору от 30.12.2013 № 656, на предприятиях, на которых получаются, транспортируются, используются расплавы черных и цветных металлов, сплавы на основе этих расплавов создаются газоспасательные службы (далее – ГСС) или заключаются договора с ГСС, которые осуществляют:</w:t>
            </w:r>
          </w:p>
          <w:p w14:paraId="41AA842D" w14:textId="77777777" w:rsidR="00C241B2" w:rsidRPr="00C241B2" w:rsidRDefault="00C241B2" w:rsidP="00E267DD">
            <w:pPr>
              <w:spacing w:line="360" w:lineRule="auto"/>
              <w:jc w:val="both"/>
              <w:rPr>
                <w:rFonts w:ascii="Times New Roman" w:hAnsi="Times New Roman" w:cs="Times New Roman"/>
                <w:sz w:val="28"/>
                <w:szCs w:val="28"/>
              </w:rPr>
            </w:pPr>
          </w:p>
          <w:p w14:paraId="48FDD4C3" w14:textId="50BB36BF"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-спасение людей и оказание первой помощи пострадавшим в случаях возникновения аварийных ситуаций в газовом хозяйстве предприятий;</w:t>
            </w:r>
          </w:p>
          <w:p w14:paraId="1B2F88C3" w14:textId="0EEDB812"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-ликвидацию аварий и их последствий;</w:t>
            </w:r>
          </w:p>
          <w:p w14:paraId="1BBEE5F6" w14:textId="4AFE0AB6"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-выполнение газоопасных работ, в том числе технологических, самостоятельно или совместно с производственным персоналом цехов;</w:t>
            </w:r>
          </w:p>
          <w:p w14:paraId="6B058730" w14:textId="6AEAC114"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-контроль загазованности воздуха рабочей зоны;</w:t>
            </w:r>
          </w:p>
          <w:p w14:paraId="46082E39" w14:textId="42845CD9"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-контроль укомплектованности и правильного содержания в цехах шкафов с аварийной газозащитной аппаратурой и инструментом;</w:t>
            </w:r>
          </w:p>
          <w:p w14:paraId="74C8798F" w14:textId="39301DAC"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-проверку исправности, ремонт газозащитной аппаратуры и приведение ее в состояние готовности после каждого случая применения;</w:t>
            </w:r>
          </w:p>
          <w:p w14:paraId="49EC4DA6"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-инструктаж и допуск производственного персонала для проведения газоопасных работ;</w:t>
            </w:r>
          </w:p>
          <w:p w14:paraId="096BA5F6" w14:textId="77777777" w:rsidR="00C241B2" w:rsidRPr="00C241B2" w:rsidRDefault="00C241B2" w:rsidP="00E267DD">
            <w:pPr>
              <w:spacing w:line="360" w:lineRule="auto"/>
              <w:jc w:val="both"/>
              <w:rPr>
                <w:rFonts w:ascii="Times New Roman" w:hAnsi="Times New Roman" w:cs="Times New Roman"/>
                <w:sz w:val="28"/>
                <w:szCs w:val="28"/>
              </w:rPr>
            </w:pPr>
          </w:p>
          <w:p w14:paraId="4FD8B92B" w14:textId="05EF12A0"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-проведение профилактических осмотров и обследований состояния газоопасных мест, установок, агрегатов, контрольно-измерительных приборов и коммуникаций газовзрывоопасных обслуживаемых цехов.</w:t>
            </w:r>
          </w:p>
          <w:p w14:paraId="48447FA3" w14:textId="77777777"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Газоспасательные службы предприятий, на которых получаются, транспортируются, используются расплавы черных и цветных металлов, сплавы на основе этих расплавов, должны быть аттестованы в соответствии с действующим законодательством.</w:t>
            </w:r>
          </w:p>
          <w:p w14:paraId="6A56DB0D" w14:textId="12EA7306"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Структура, штаты и оснащение газоспасательной службы должны обеспечивать выполнение возложенных на нее задач</w:t>
            </w:r>
            <w:r>
              <w:rPr>
                <w:rFonts w:ascii="Times New Roman" w:hAnsi="Times New Roman" w:cs="Times New Roman"/>
                <w:sz w:val="28"/>
                <w:szCs w:val="28"/>
              </w:rPr>
              <w:t>.</w:t>
            </w:r>
          </w:p>
        </w:tc>
      </w:tr>
      <w:tr w:rsidR="00C241B2" w:rsidRPr="00713E1E" w14:paraId="745EE912" w14:textId="77777777" w:rsidTr="00713E1E">
        <w:tc>
          <w:tcPr>
            <w:tcW w:w="594" w:type="dxa"/>
          </w:tcPr>
          <w:p w14:paraId="30EF6E59" w14:textId="77777777" w:rsidR="00C241B2" w:rsidRPr="00C241B2" w:rsidRDefault="00C241B2" w:rsidP="00AF1CB8">
            <w:pPr>
              <w:pStyle w:val="a4"/>
              <w:numPr>
                <w:ilvl w:val="0"/>
                <w:numId w:val="1"/>
              </w:numPr>
              <w:spacing w:line="360" w:lineRule="auto"/>
              <w:rPr>
                <w:rFonts w:ascii="Times New Roman" w:hAnsi="Times New Roman" w:cs="Times New Roman"/>
                <w:sz w:val="28"/>
                <w:szCs w:val="28"/>
              </w:rPr>
            </w:pPr>
          </w:p>
        </w:tc>
        <w:tc>
          <w:tcPr>
            <w:tcW w:w="3413" w:type="dxa"/>
          </w:tcPr>
          <w:p w14:paraId="6C692259" w14:textId="03554F16" w:rsidR="00C241B2" w:rsidRPr="00C241B2" w:rsidRDefault="00C241B2" w:rsidP="00E267DD">
            <w:pPr>
              <w:spacing w:line="360" w:lineRule="auto"/>
              <w:jc w:val="both"/>
              <w:rPr>
                <w:rFonts w:ascii="Times New Roman" w:hAnsi="Times New Roman" w:cs="Times New Roman"/>
                <w:sz w:val="28"/>
                <w:szCs w:val="28"/>
              </w:rPr>
            </w:pPr>
            <w:r w:rsidRPr="00C241B2">
              <w:rPr>
                <w:rFonts w:ascii="Times New Roman" w:hAnsi="Times New Roman" w:cs="Times New Roman"/>
                <w:sz w:val="28"/>
                <w:szCs w:val="28"/>
              </w:rPr>
              <w:t>В соответствии с законом о Геодезии предприятия могут организовывать на своей территории геодезические сети специального назначения, в том числе сети дифференциальных геодезических базовых GPS станций. Можно ли использовать такие сети, в том числе базовые GPS станции, в качестве опорных маркшейдерских сетей?</w:t>
            </w:r>
          </w:p>
        </w:tc>
        <w:tc>
          <w:tcPr>
            <w:tcW w:w="6733" w:type="dxa"/>
          </w:tcPr>
          <w:p w14:paraId="7E339173"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Нет, нельзя. Они могут лишь дополнять друг друга.</w:t>
            </w:r>
          </w:p>
          <w:p w14:paraId="1B5FEDED"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В соответствии с п. 23 Инструкции по производству маркшейдерских работ (Постановление Госгортехнадзора РФ от 06.06.2003 № 73) организация на территории своей производственно-хозяйственной деятельности в дополнение к геодезической сети создает маркшейдерскую опорную сеть.</w:t>
            </w:r>
          </w:p>
          <w:p w14:paraId="4A376E65"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 регулирует создание только геодезических сетей.</w:t>
            </w:r>
          </w:p>
          <w:p w14:paraId="4B92F59A"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 xml:space="preserve"> В соответствии со ст. 24 Закона РФ от 21.02.1992 № 2395-1 «О недрах» одним из требований по обеспечению безопасного ведения работ, связанных с пользованием недрами, является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w:t>
            </w:r>
          </w:p>
          <w:p w14:paraId="5FE4F7C6"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Таким образом, маркшейдерская опорная сеть создается в дополнение к геодезической и служит для выполнения маркшейдерских задач, в том числе и по обеспечению безопасного ведения работ, связанных с пользованием недрами. Маркшейдерская опорная сеть закрепляется на местности долговременными пунктами и служит основой для выполнения маркшейдерских работ предприятия.</w:t>
            </w:r>
          </w:p>
          <w:p w14:paraId="6E02572B"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Согласно требованию пункта 5 «е» Положения о лицензировании производства маркшейдерских работ (постановление Правительства РФ от 28.03.2012 г. № 257), выполнение маркшейдерских работ осуществляется в соответствии с проектной документацией на производство маркшейдерских работ, согласованной в установленном порядке. Порядок согласования определен Постановлением Правительства РФ как схемы производства маркшейдерских работ.</w:t>
            </w:r>
          </w:p>
          <w:p w14:paraId="6AD71091"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В соответствии со статьей 9 Федерального закона от 30 декабря 2015 года № 431-ФЗ  для обеспечения выполнения геодезических работ при осуществлении градостроительной и кадастровой деятельности, землеустройства, недропользования, иной деятельности, а также повышения точности результатов указанных работ физические и юридические лица, органы государственной власти и органы местного самоуправления вправе организовывать создание геодезических сетей специального назначения, в том числе сетей дифференциальных геодезических станций. Данные сети могут использоваться на объектах недропользования при выполнении геодезических работ, таких как межевание земельных участков, вынос границ земельных участков в натуру, создание обоснования для топографической сьемки земельных участков и т. д.</w:t>
            </w:r>
          </w:p>
          <w:p w14:paraId="18579E41" w14:textId="57A385EF" w:rsidR="00C241B2" w:rsidRPr="00C241B2"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Сети дифференциальных геодезических станций могут использоваться для решения маркшейдерских задач в случае обеспечения требуемой точности выполнения маркшейдерских работ. При этом должны быть определены параметры перехода от системы координат маркшейдерской сети к системе координат геодезической сети. Возможность использования сети дифференциальных геодезических станций для решения маркшейдерских задач в каждом конкретном случае определяется проектом производства маркшейдерских работ, согласованном в установленном порядке.</w:t>
            </w:r>
          </w:p>
        </w:tc>
      </w:tr>
      <w:tr w:rsidR="00E267DD" w:rsidRPr="00713E1E" w14:paraId="200C7C5F" w14:textId="77777777" w:rsidTr="00713E1E">
        <w:tc>
          <w:tcPr>
            <w:tcW w:w="594" w:type="dxa"/>
          </w:tcPr>
          <w:p w14:paraId="2C2E0151" w14:textId="77777777" w:rsidR="00E267DD" w:rsidRPr="00C241B2" w:rsidRDefault="00E267DD" w:rsidP="00AF1CB8">
            <w:pPr>
              <w:pStyle w:val="a4"/>
              <w:numPr>
                <w:ilvl w:val="0"/>
                <w:numId w:val="1"/>
              </w:numPr>
              <w:spacing w:line="360" w:lineRule="auto"/>
              <w:rPr>
                <w:rFonts w:ascii="Times New Roman" w:hAnsi="Times New Roman" w:cs="Times New Roman"/>
                <w:sz w:val="28"/>
                <w:szCs w:val="28"/>
              </w:rPr>
            </w:pPr>
          </w:p>
        </w:tc>
        <w:tc>
          <w:tcPr>
            <w:tcW w:w="3413" w:type="dxa"/>
          </w:tcPr>
          <w:p w14:paraId="7BF53AB7" w14:textId="133231C7" w:rsidR="00E267DD" w:rsidRPr="00C241B2"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Наша организация производит разработку карьера по добыче керамзитовых глин, к категории опасных производственных объектов не относимся, подскажите необходимо ли согласовывать планы развития горных работ с Ростехнадзором?</w:t>
            </w:r>
          </w:p>
        </w:tc>
        <w:tc>
          <w:tcPr>
            <w:tcW w:w="6733" w:type="dxa"/>
          </w:tcPr>
          <w:p w14:paraId="55BFBAC1"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На основании пункта 2 Правил подготовки, рассмотрения и согласования планов и схем развития горных работ по видам полезных ископаемых, утверждённых постановлением Правительства Российской Федерации от 06.08.2015 № 814, планы развития горных работ подготавливаются по видам полезных ископаемых (твёрдые полезные ископаемые, углеводородное сырьё, подземные воды, общераспространённые полезные ископаемые) и содержат мероприятия по выполнению требований законодательства Российской Федерации о недрах и законодательства Российской Федерации в области промышленной безопасности по обеспечению безопасного ведения работ, связанных с пользованием недрами, а также сведения о потерях полезных ископаемых.</w:t>
            </w:r>
          </w:p>
          <w:p w14:paraId="09DA8AD3" w14:textId="376C5A20"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В связи с вышеизложенным сообщаем, что планы развития горных работ общераспространённых полезных ископаемых, разрабатываемых открытым способом без применения взрывных работ, подлежат согласованию с Федеральной службой по экологическому, технологическому и атомному надзору.</w:t>
            </w:r>
          </w:p>
        </w:tc>
      </w:tr>
      <w:tr w:rsidR="00E267DD" w:rsidRPr="00713E1E" w14:paraId="63BE4731" w14:textId="77777777" w:rsidTr="00713E1E">
        <w:tc>
          <w:tcPr>
            <w:tcW w:w="594" w:type="dxa"/>
          </w:tcPr>
          <w:p w14:paraId="0FE3AE9B" w14:textId="77777777" w:rsidR="00E267DD" w:rsidRPr="00C241B2" w:rsidRDefault="00E267DD" w:rsidP="00AF1CB8">
            <w:pPr>
              <w:pStyle w:val="a4"/>
              <w:numPr>
                <w:ilvl w:val="0"/>
                <w:numId w:val="1"/>
              </w:numPr>
              <w:spacing w:line="360" w:lineRule="auto"/>
              <w:rPr>
                <w:rFonts w:ascii="Times New Roman" w:hAnsi="Times New Roman" w:cs="Times New Roman"/>
                <w:sz w:val="28"/>
                <w:szCs w:val="28"/>
              </w:rPr>
            </w:pPr>
          </w:p>
        </w:tc>
        <w:tc>
          <w:tcPr>
            <w:tcW w:w="3413" w:type="dxa"/>
          </w:tcPr>
          <w:p w14:paraId="2CAE262F" w14:textId="1285848F"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Нужно ли получать горноотводный акт, удостоверяющий уточненные границы горного отвода к лицензии, если в самой лицензии уже лицензионному участку недр присвоен статус горного отвода с точными координатами угловых точек?</w:t>
            </w:r>
          </w:p>
        </w:tc>
        <w:tc>
          <w:tcPr>
            <w:tcW w:w="6733" w:type="dxa"/>
          </w:tcPr>
          <w:p w14:paraId="7DEFC9A0"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Согласно статьи 7 Закона Российской Федерации от 21.02.1992 № 2395-1 «О недрах» (далее - Закон № 2395-1) документы, удостоверяющие уточненные границы горного отвода (горноотводный акт и графические приложения) (далее – горноотводная документация) оформляются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статьей 23.2 Закона № 2395-1 и являются неотъемлемой составной частью лицензии на пользование недрами.</w:t>
            </w:r>
          </w:p>
          <w:p w14:paraId="2FFBA38E" w14:textId="7316FB21"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Структура и содержание проекта горного отвода при обосновании границ горного отвода, форме горноотводной документации, и ведению реестра горноотводной документации установлены Требованиями к содержанию проекта горного отвода, форме горноотводного акта, графических приложений, плана горного отвода и ведению реестра документов, удостоверяющими уточненные границы горного отвода, утвержденными приказом Ростехнадзора от 01.11.2017 № 461.</w:t>
            </w:r>
          </w:p>
        </w:tc>
      </w:tr>
      <w:tr w:rsidR="00E267DD" w:rsidRPr="00713E1E" w14:paraId="59AB3AAA" w14:textId="77777777" w:rsidTr="00713E1E">
        <w:tc>
          <w:tcPr>
            <w:tcW w:w="594" w:type="dxa"/>
          </w:tcPr>
          <w:p w14:paraId="49B92BB5" w14:textId="77777777" w:rsidR="00E267DD" w:rsidRPr="00C241B2" w:rsidRDefault="00E267DD" w:rsidP="00AF1CB8">
            <w:pPr>
              <w:pStyle w:val="a4"/>
              <w:numPr>
                <w:ilvl w:val="0"/>
                <w:numId w:val="1"/>
              </w:numPr>
              <w:spacing w:line="360" w:lineRule="auto"/>
              <w:rPr>
                <w:rFonts w:ascii="Times New Roman" w:hAnsi="Times New Roman" w:cs="Times New Roman"/>
                <w:sz w:val="28"/>
                <w:szCs w:val="28"/>
              </w:rPr>
            </w:pPr>
          </w:p>
        </w:tc>
        <w:tc>
          <w:tcPr>
            <w:tcW w:w="3413" w:type="dxa"/>
          </w:tcPr>
          <w:p w14:paraId="5FCE8A94" w14:textId="17F782FE"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Если опасный производственный объект расположен на землях округа горно-санитарной защиты курорта, которая является особо охраняемой территорией, повышается ли класс опасности ОПО?</w:t>
            </w:r>
          </w:p>
        </w:tc>
        <w:tc>
          <w:tcPr>
            <w:tcW w:w="6733" w:type="dxa"/>
          </w:tcPr>
          <w:p w14:paraId="64B5E2F8"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В соответствии с п. 11 прил. 2 Федерального закона от 21.07.1997 № 116-ФЗ «О промышленной безопасности опасных производственных объектов» в случае, если опасный производственный объект, для которого должен быть установлен II, III или IV класс опасности, расположен на землях особо охраняемых природных территорий, для такого опасного производственного объекта устанавливается более высокий класс опасности соответственно.</w:t>
            </w:r>
          </w:p>
          <w:p w14:paraId="30D12CFF"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В действующей редакции Федерального закона от 23.02.1995 № 26-ФЗ «О природных лечебных ресурсах, лечебно-оздоровительных местностях и курортах» для защиты курортов устанавливаются округа санитарной (горно-санитарной) охраны. 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Норма, закрепляющая за округами санитарной (горно-санитарной) охраны курортов статус особо охраняемых природных территорий, отсутствует.</w:t>
            </w:r>
          </w:p>
          <w:p w14:paraId="11A74914" w14:textId="63B7F180"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Таким образом, действие п. 11 прил. 2 Федерального закона от 21.07.1997 № 116-ФЗ на округа санитарной (горно-санитарной) охраны курортов не распространяется и класс опасности опасного производственного объекта устанавливается в соответствии с прил. 2 без повышения класса опасности, как это предусмотрено для особо охраняемых природных территорий.</w:t>
            </w:r>
          </w:p>
        </w:tc>
      </w:tr>
      <w:tr w:rsidR="00E267DD" w:rsidRPr="00713E1E" w14:paraId="7B1E2286" w14:textId="77777777" w:rsidTr="00713E1E">
        <w:tc>
          <w:tcPr>
            <w:tcW w:w="594" w:type="dxa"/>
          </w:tcPr>
          <w:p w14:paraId="00ACB777" w14:textId="77777777" w:rsidR="00E267DD" w:rsidRPr="00C241B2" w:rsidRDefault="00E267DD" w:rsidP="00AF1CB8">
            <w:pPr>
              <w:pStyle w:val="a4"/>
              <w:numPr>
                <w:ilvl w:val="0"/>
                <w:numId w:val="1"/>
              </w:numPr>
              <w:spacing w:line="360" w:lineRule="auto"/>
              <w:rPr>
                <w:rFonts w:ascii="Times New Roman" w:hAnsi="Times New Roman" w:cs="Times New Roman"/>
                <w:sz w:val="28"/>
                <w:szCs w:val="28"/>
              </w:rPr>
            </w:pPr>
          </w:p>
        </w:tc>
        <w:tc>
          <w:tcPr>
            <w:tcW w:w="3413" w:type="dxa"/>
          </w:tcPr>
          <w:p w14:paraId="7D0703B4" w14:textId="00BBD693"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Какие системы координат можно использовать при оформлении уточненных границ горных отводов?</w:t>
            </w:r>
          </w:p>
        </w:tc>
        <w:tc>
          <w:tcPr>
            <w:tcW w:w="6733" w:type="dxa"/>
          </w:tcPr>
          <w:p w14:paraId="17580A1B"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В соответствии с п. 5 Приказа Ростехнадзора № 461 от 1.11.2017 г. графические приложения к горноотводному акту составляются в соответствии с условными обозначениями для горной и (или) маркшейдерской графической документации в системе прямоугольных координат, обеспечивающих возможность перехода к государственной системе координат с использованием параметров перехода (ключей). Таким образом, горно-графическая документация должна составляться в государственных или местных системах прямоугольных координат. Использование иных систем координат (условных или локальных) не допускается.</w:t>
            </w:r>
          </w:p>
          <w:p w14:paraId="27886F26"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В соответствии с Постановлением Правительства РФ от 24.11.2016 № 1240 «Об установлении государственных систем координат, государственной системы высот и государственной гравиметрической системы» на территории Российской Федерации устанавливается государственная геодезическая система прямоугольных координат ГСК-2011. Система координат 1995 года, установленная в качестве единой государственной системы прямоугольных координат, применяется до 1 января 2021 года. Единая система координат 1942 года не является государственной системой координат.</w:t>
            </w:r>
          </w:p>
          <w:p w14:paraId="381CC744"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Местные системы координат должны соответствовать Приказу Минэкономразвития от 28 июля 2017 года № 383 «Об утверждении порядка установления местных систем координат» и согласованы органами Росреестра.</w:t>
            </w:r>
          </w:p>
          <w:p w14:paraId="431559F7"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Использование негосударственных систем координат, не согласованных органами Росреестра в качестве местных систем координат, не допускается.</w:t>
            </w:r>
          </w:p>
          <w:p w14:paraId="25291F8A"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Таким образом, в настоящее время для ведения горно-графической документации при оформлении горных отводов допускается использовать следующие системы координат:</w:t>
            </w:r>
          </w:p>
          <w:p w14:paraId="35ABBD90"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 государственная геодезическая система прямоугольных координат ГСК-2011;</w:t>
            </w:r>
          </w:p>
          <w:p w14:paraId="1893FB48"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 единая государственная система координат 1995 года (до 1.01.2021 г.);</w:t>
            </w:r>
          </w:p>
          <w:p w14:paraId="001BB4F4"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 местные системы координат, согласованные в установленном порядке.</w:t>
            </w:r>
          </w:p>
          <w:p w14:paraId="1126086E" w14:textId="41F9A62B"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Использование иных систем координат, в том числе местных региональных систем координат, установленных для ведения земельного кадастра и не соответствующих Приказу Минэкономразвития от 28 июля 2017 года № 383 «Об утверждении порядка установления местных систем координат» не допускается.</w:t>
            </w:r>
          </w:p>
        </w:tc>
      </w:tr>
      <w:tr w:rsidR="00E267DD" w:rsidRPr="00713E1E" w14:paraId="5866D7E7" w14:textId="77777777" w:rsidTr="00713E1E">
        <w:tc>
          <w:tcPr>
            <w:tcW w:w="594" w:type="dxa"/>
          </w:tcPr>
          <w:p w14:paraId="5B042C9A" w14:textId="77777777" w:rsidR="00E267DD" w:rsidRPr="00C241B2" w:rsidRDefault="00E267DD" w:rsidP="00AF1CB8">
            <w:pPr>
              <w:pStyle w:val="a4"/>
              <w:numPr>
                <w:ilvl w:val="0"/>
                <w:numId w:val="1"/>
              </w:numPr>
              <w:spacing w:line="360" w:lineRule="auto"/>
              <w:rPr>
                <w:rFonts w:ascii="Times New Roman" w:hAnsi="Times New Roman" w:cs="Times New Roman"/>
                <w:sz w:val="28"/>
                <w:szCs w:val="28"/>
              </w:rPr>
            </w:pPr>
          </w:p>
        </w:tc>
        <w:tc>
          <w:tcPr>
            <w:tcW w:w="3413" w:type="dxa"/>
          </w:tcPr>
          <w:p w14:paraId="4A2FFC24" w14:textId="593799BD"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Являются ли основанием для отказа в согласовании плана развития горных работ на планируемый год отклонения от согласованных объёмов в текущем году?</w:t>
            </w:r>
          </w:p>
        </w:tc>
        <w:tc>
          <w:tcPr>
            <w:tcW w:w="6733" w:type="dxa"/>
          </w:tcPr>
          <w:p w14:paraId="48C8F2D7"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В соответствии с п. 3 Правил подготовки, рассмотрения и согласования планов и схем развития горных работ по видам полезных ископаемых (далее – Правила), утверждённых постановлением Правительства Российской Федерации от 06.08.2015 № 814, планы развития горных работ (далее – ПРГР) определяют в том числе объёмы добычи полезного ископаемого. При этом пунктом 6 Правил определено, что ПРГР составляются на основе утверждённых в установленном порядке технических проектов, содержащих сведения о годовых объёмах добычи полезного ископаемого. В связи с этим и на основании п. 10 Правил изменения объёмов добычи рассматриваются как изменение условий, предусмотренных проектной документацией, и подлежат согласованию в установленном порядке в виде дополнения к ранее согласованному ПРГР. При этом в дополнении к ПРГР рассматриваются дополнительные меры обеспечения безопасного пользования недрами в виде соответствующего раздела «Обоснование соблюдения условий безопасного недропользования».</w:t>
            </w:r>
          </w:p>
          <w:p w14:paraId="2DE8D602" w14:textId="6018FDE4"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Отклонения от выполнения согласованных объёмов за предыдущий год не являются основанием для отказа в согласования ПРГР на предстоящий операционный год.</w:t>
            </w:r>
          </w:p>
        </w:tc>
      </w:tr>
      <w:tr w:rsidR="00E267DD" w:rsidRPr="00713E1E" w14:paraId="4C541642" w14:textId="77777777" w:rsidTr="00713E1E">
        <w:tc>
          <w:tcPr>
            <w:tcW w:w="594" w:type="dxa"/>
          </w:tcPr>
          <w:p w14:paraId="75AE3CDC" w14:textId="77777777" w:rsidR="00E267DD" w:rsidRPr="00C241B2" w:rsidRDefault="00E267DD" w:rsidP="00AF1CB8">
            <w:pPr>
              <w:pStyle w:val="a4"/>
              <w:numPr>
                <w:ilvl w:val="0"/>
                <w:numId w:val="1"/>
              </w:numPr>
              <w:spacing w:line="360" w:lineRule="auto"/>
              <w:rPr>
                <w:rFonts w:ascii="Times New Roman" w:hAnsi="Times New Roman" w:cs="Times New Roman"/>
                <w:sz w:val="28"/>
                <w:szCs w:val="28"/>
              </w:rPr>
            </w:pPr>
          </w:p>
        </w:tc>
        <w:tc>
          <w:tcPr>
            <w:tcW w:w="3413" w:type="dxa"/>
          </w:tcPr>
          <w:p w14:paraId="3861B79D" w14:textId="7E3438B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Подскажите пожалуйста, возможно ли подать заявление о внесении заключения экспертизы промышленной безопасности в Реестр в другой территориальный орган Ростехнадзора, то есть не по месту нахождения опасного производственного объекта?</w:t>
            </w:r>
          </w:p>
        </w:tc>
        <w:tc>
          <w:tcPr>
            <w:tcW w:w="6733" w:type="dxa"/>
          </w:tcPr>
          <w:p w14:paraId="17CDC6E6" w14:textId="5F6ADF30"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В соответствии с пунктом 44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утвержденного приказом Ростехнадзора от 08.04.2019 № 141, заявитель вправе получить государственную услугу в любом территориальном органе Ростехнадзора, предоставляющем государственную услугу по своему выбору, за исключением межрегиональных территориальных управлений по надзору за ядерной и радиационной безопасностью, указанных в п. 11 вышеназванного Регламента.</w:t>
            </w:r>
          </w:p>
        </w:tc>
      </w:tr>
      <w:tr w:rsidR="00E267DD" w:rsidRPr="00713E1E" w14:paraId="44D8A1D0" w14:textId="77777777" w:rsidTr="00713E1E">
        <w:tc>
          <w:tcPr>
            <w:tcW w:w="594" w:type="dxa"/>
          </w:tcPr>
          <w:p w14:paraId="4ED06112" w14:textId="77777777" w:rsidR="00E267DD" w:rsidRPr="00C241B2" w:rsidRDefault="00E267DD" w:rsidP="00AF1CB8">
            <w:pPr>
              <w:pStyle w:val="a4"/>
              <w:numPr>
                <w:ilvl w:val="0"/>
                <w:numId w:val="1"/>
              </w:numPr>
              <w:spacing w:line="360" w:lineRule="auto"/>
              <w:rPr>
                <w:rFonts w:ascii="Times New Roman" w:hAnsi="Times New Roman" w:cs="Times New Roman"/>
                <w:sz w:val="28"/>
                <w:szCs w:val="28"/>
              </w:rPr>
            </w:pPr>
          </w:p>
        </w:tc>
        <w:tc>
          <w:tcPr>
            <w:tcW w:w="3413" w:type="dxa"/>
          </w:tcPr>
          <w:p w14:paraId="2B28C4BC" w14:textId="5886B350"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Подскажите пожалуйста по результатам проверки Ростехнадзора получено предписание об устранении выявленных нарушений, но в установленный срок исполнить предписываемые меры не получается по совокупности ряда причин. Есть ли порядок продления (увеличения) срока устранения замечаний?</w:t>
            </w:r>
          </w:p>
        </w:tc>
        <w:tc>
          <w:tcPr>
            <w:tcW w:w="6733" w:type="dxa"/>
          </w:tcPr>
          <w:p w14:paraId="6CC8D2F3"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В соответствии с 84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утвержденного приказом Федеральной службы по экологическому, технологическому и атомному надзору от 12.02.2016 № 48, в случае необходимости продления сроков устранения отдельных пунктов предписания по уважительным причинам, юридическое лицо, индивидуальный предприниматель, которому выдано предписание об устранении выявленных нарушений законодательства в области промышленной безопасности, не позднее 10 рабочих дней до указанного в предписании срока устранения нарушения, вправе направить в Ростехнадзор (его территориальный орган), аргументированное ходатайство о продлении срока исполнения предписания (далее - ходатайство).</w:t>
            </w:r>
          </w:p>
          <w:p w14:paraId="6F519C5A"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К ходатайству прилагаются документы, обосновывающие продление срока, материалы о ходе устранения нарушения к моменту направления ходатайства, а также подтверждающие принятие юридическим лицом, индивидуальным предпринимателем организационно-технических мероприятий, обеспечивающих безопасное ведение работ на опасном производственном объекте до устранения нарушений, указанных в предписании.</w:t>
            </w:r>
          </w:p>
          <w:p w14:paraId="28E80E13"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Решение об удовлетворении (об отказе в удовлетворении) ходатайства и назначении нового срока исполнения предписания принимается руководителем (заместителем руководителя) Ростехнадзора (его территориального органа) в срок не более 10 рабочих дней со дня его регистрации в Ростехнадзоре (его территориальном органе).</w:t>
            </w:r>
          </w:p>
          <w:p w14:paraId="6970BF99" w14:textId="77777777"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В случае принятия решения об отказе в удовлетворении ходатайства указываются причины, послужившие основанием для отказа в удовлетворении ходатайства.</w:t>
            </w:r>
          </w:p>
          <w:p w14:paraId="561027ED" w14:textId="2573427A"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Решение Ростехнадзора (его территориального органа) по результатам рассмотрения ходатайства направляется юридическому лицу, индивидуальному предпринимателю заказным почтовым отправлением с уведомлением о вручении или иным доступным способом.</w:t>
            </w:r>
          </w:p>
        </w:tc>
      </w:tr>
      <w:tr w:rsidR="00E267DD" w:rsidRPr="00713E1E" w14:paraId="1724B074" w14:textId="77777777" w:rsidTr="00713E1E">
        <w:tc>
          <w:tcPr>
            <w:tcW w:w="594" w:type="dxa"/>
          </w:tcPr>
          <w:p w14:paraId="7C997250" w14:textId="77777777" w:rsidR="00E267DD" w:rsidRPr="00C241B2" w:rsidRDefault="00E267DD" w:rsidP="00AF1CB8">
            <w:pPr>
              <w:pStyle w:val="a4"/>
              <w:numPr>
                <w:ilvl w:val="0"/>
                <w:numId w:val="1"/>
              </w:numPr>
              <w:spacing w:line="360" w:lineRule="auto"/>
              <w:rPr>
                <w:rFonts w:ascii="Times New Roman" w:hAnsi="Times New Roman" w:cs="Times New Roman"/>
                <w:sz w:val="28"/>
                <w:szCs w:val="28"/>
              </w:rPr>
            </w:pPr>
          </w:p>
        </w:tc>
        <w:tc>
          <w:tcPr>
            <w:tcW w:w="3413" w:type="dxa"/>
          </w:tcPr>
          <w:p w14:paraId="25C36FF5" w14:textId="125AA702"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Согласно Положению о лицензировании производства маркшейдерских работ, утверждённого постановлением Правительства Российской Федерации от 28 марта 2012 г. № 257, производство маркшейдерских работ осуществляется в соответствии с согласованной в установленном порядке проектной документацией на производство маркшейдерских работ. Подскажите порядок согласования указанной документации?</w:t>
            </w:r>
          </w:p>
        </w:tc>
        <w:tc>
          <w:tcPr>
            <w:tcW w:w="6733" w:type="dxa"/>
          </w:tcPr>
          <w:p w14:paraId="55AADE72" w14:textId="780F45C3" w:rsidR="00E267DD" w:rsidRPr="00E267DD" w:rsidRDefault="00E267DD" w:rsidP="00E267DD">
            <w:pPr>
              <w:spacing w:line="360" w:lineRule="auto"/>
              <w:jc w:val="both"/>
              <w:rPr>
                <w:rFonts w:ascii="Times New Roman" w:hAnsi="Times New Roman" w:cs="Times New Roman"/>
                <w:sz w:val="28"/>
                <w:szCs w:val="28"/>
              </w:rPr>
            </w:pPr>
            <w:r w:rsidRPr="00E267DD">
              <w:rPr>
                <w:rFonts w:ascii="Times New Roman" w:hAnsi="Times New Roman" w:cs="Times New Roman"/>
                <w:sz w:val="28"/>
                <w:szCs w:val="28"/>
              </w:rPr>
              <w:t>Согласно пункту 7 Требований к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графику рассмотрения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 утверждённых приказом Ростехнадзора от 29 сентября 2017 года № 401, проекты производства маркшейдерских работ, проекты наблюдательных станций, проекты наблюдений за деформациями объектов обустройства подлежат согласованию в виде схем развития маркшейдерских работ территориальными органами Ростехнадзора.</w:t>
            </w:r>
          </w:p>
        </w:tc>
      </w:tr>
    </w:tbl>
    <w:p w14:paraId="1B8409F6" w14:textId="77777777" w:rsidR="00CB6B07" w:rsidRPr="00713E1E" w:rsidRDefault="00CB6B07" w:rsidP="00457EC6">
      <w:pPr>
        <w:pStyle w:val="a6"/>
        <w:rPr>
          <w:sz w:val="28"/>
          <w:szCs w:val="28"/>
        </w:rPr>
      </w:pPr>
    </w:p>
    <w:sectPr w:rsidR="00CB6B07" w:rsidRPr="00713E1E" w:rsidSect="00457EC6">
      <w:pgSz w:w="11906" w:h="16838"/>
      <w:pgMar w:top="851" w:right="567" w:bottom="709"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F270A"/>
    <w:multiLevelType w:val="multilevel"/>
    <w:tmpl w:val="AF7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60732"/>
    <w:multiLevelType w:val="hybridMultilevel"/>
    <w:tmpl w:val="597C4B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FB45251"/>
    <w:multiLevelType w:val="multilevel"/>
    <w:tmpl w:val="862EF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A552BC"/>
    <w:multiLevelType w:val="multilevel"/>
    <w:tmpl w:val="59081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07"/>
    <w:rsid w:val="00016159"/>
    <w:rsid w:val="000371A2"/>
    <w:rsid w:val="001436A2"/>
    <w:rsid w:val="001C65A7"/>
    <w:rsid w:val="003F76B9"/>
    <w:rsid w:val="00457EC6"/>
    <w:rsid w:val="004C6108"/>
    <w:rsid w:val="004E02BB"/>
    <w:rsid w:val="004F4996"/>
    <w:rsid w:val="00511038"/>
    <w:rsid w:val="00530924"/>
    <w:rsid w:val="00543079"/>
    <w:rsid w:val="00546363"/>
    <w:rsid w:val="006F32FF"/>
    <w:rsid w:val="00701DA2"/>
    <w:rsid w:val="00713E1E"/>
    <w:rsid w:val="007664E4"/>
    <w:rsid w:val="00831370"/>
    <w:rsid w:val="00862D0F"/>
    <w:rsid w:val="009F211E"/>
    <w:rsid w:val="00A33BAF"/>
    <w:rsid w:val="00A61D93"/>
    <w:rsid w:val="00A71A3E"/>
    <w:rsid w:val="00AF1CB8"/>
    <w:rsid w:val="00B856C4"/>
    <w:rsid w:val="00B977A9"/>
    <w:rsid w:val="00C241B2"/>
    <w:rsid w:val="00C57E71"/>
    <w:rsid w:val="00CB6B07"/>
    <w:rsid w:val="00CC0825"/>
    <w:rsid w:val="00D80FB5"/>
    <w:rsid w:val="00E267DD"/>
    <w:rsid w:val="00E41C08"/>
    <w:rsid w:val="00EB3908"/>
    <w:rsid w:val="00EE0186"/>
    <w:rsid w:val="00EF4329"/>
    <w:rsid w:val="00FC7F95"/>
    <w:rsid w:val="00FD5EFD"/>
    <w:rsid w:val="00FF0712"/>
    <w:rsid w:val="00FF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63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B6B07"/>
    <w:pPr>
      <w:ind w:left="720"/>
      <w:contextualSpacing/>
    </w:pPr>
  </w:style>
  <w:style w:type="character" w:customStyle="1" w:styleId="10">
    <w:name w:val="Заголовок 1 Знак"/>
    <w:basedOn w:val="a0"/>
    <w:link w:val="1"/>
    <w:uiPriority w:val="9"/>
    <w:rsid w:val="00546363"/>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546363"/>
    <w:rPr>
      <w:color w:val="0000FF"/>
      <w:u w:val="single"/>
    </w:rPr>
  </w:style>
  <w:style w:type="paragraph" w:styleId="a6">
    <w:name w:val="Normal (Web)"/>
    <w:basedOn w:val="a"/>
    <w:uiPriority w:val="99"/>
    <w:unhideWhenUsed/>
    <w:rsid w:val="00546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371A2"/>
    <w:rPr>
      <w:i/>
    </w:rPr>
  </w:style>
  <w:style w:type="character" w:styleId="a8">
    <w:name w:val="Strong"/>
    <w:basedOn w:val="a0"/>
    <w:uiPriority w:val="22"/>
    <w:qFormat/>
    <w:rsid w:val="000371A2"/>
    <w:rPr>
      <w:b/>
    </w:rPr>
  </w:style>
  <w:style w:type="character" w:customStyle="1" w:styleId="blk">
    <w:name w:val="blk"/>
    <w:basedOn w:val="a0"/>
    <w:rsid w:val="00AF1CB8"/>
  </w:style>
  <w:style w:type="paragraph" w:styleId="a9">
    <w:name w:val="No Spacing"/>
    <w:uiPriority w:val="1"/>
    <w:qFormat/>
    <w:rsid w:val="00CC0825"/>
    <w:pPr>
      <w:spacing w:after="0" w:line="240" w:lineRule="auto"/>
    </w:pPr>
    <w:rPr>
      <w:rFonts w:eastAsiaTheme="minorEastAsia"/>
      <w:lang w:eastAsia="ru-RU"/>
    </w:rPr>
  </w:style>
  <w:style w:type="paragraph" w:customStyle="1" w:styleId="headertext">
    <w:name w:val="headertext"/>
    <w:basedOn w:val="a"/>
    <w:rsid w:val="00EB3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B3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EB3908"/>
  </w:style>
  <w:style w:type="paragraph" w:customStyle="1" w:styleId="HEADERTEXT0">
    <w:name w:val=".HEADERTEXT"/>
    <w:uiPriority w:val="99"/>
    <w:rsid w:val="004F4996"/>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ConsPlusNormal">
    <w:name w:val="ConsPlusNormal"/>
    <w:basedOn w:val="a"/>
    <w:uiPriority w:val="99"/>
    <w:rsid w:val="00543079"/>
    <w:pPr>
      <w:autoSpaceDE w:val="0"/>
      <w:spacing w:after="0" w:line="240" w:lineRule="auto"/>
      <w:ind w:firstLine="720"/>
    </w:pPr>
    <w:rPr>
      <w:rFonts w:ascii="Arial" w:hAnsi="Arial" w:cs="Arial"/>
      <w:sz w:val="20"/>
      <w:szCs w:val="20"/>
      <w:lang w:eastAsia="ru-RU"/>
    </w:rPr>
  </w:style>
  <w:style w:type="paragraph" w:styleId="aa">
    <w:name w:val="Balloon Text"/>
    <w:basedOn w:val="a"/>
    <w:link w:val="ab"/>
    <w:uiPriority w:val="99"/>
    <w:semiHidden/>
    <w:unhideWhenUsed/>
    <w:rsid w:val="000161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6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63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B6B07"/>
    <w:pPr>
      <w:ind w:left="720"/>
      <w:contextualSpacing/>
    </w:pPr>
  </w:style>
  <w:style w:type="character" w:customStyle="1" w:styleId="10">
    <w:name w:val="Заголовок 1 Знак"/>
    <w:basedOn w:val="a0"/>
    <w:link w:val="1"/>
    <w:uiPriority w:val="9"/>
    <w:rsid w:val="00546363"/>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546363"/>
    <w:rPr>
      <w:color w:val="0000FF"/>
      <w:u w:val="single"/>
    </w:rPr>
  </w:style>
  <w:style w:type="paragraph" w:styleId="a6">
    <w:name w:val="Normal (Web)"/>
    <w:basedOn w:val="a"/>
    <w:uiPriority w:val="99"/>
    <w:unhideWhenUsed/>
    <w:rsid w:val="00546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371A2"/>
    <w:rPr>
      <w:i/>
    </w:rPr>
  </w:style>
  <w:style w:type="character" w:styleId="a8">
    <w:name w:val="Strong"/>
    <w:basedOn w:val="a0"/>
    <w:uiPriority w:val="22"/>
    <w:qFormat/>
    <w:rsid w:val="000371A2"/>
    <w:rPr>
      <w:b/>
    </w:rPr>
  </w:style>
  <w:style w:type="character" w:customStyle="1" w:styleId="blk">
    <w:name w:val="blk"/>
    <w:basedOn w:val="a0"/>
    <w:rsid w:val="00AF1CB8"/>
  </w:style>
  <w:style w:type="paragraph" w:styleId="a9">
    <w:name w:val="No Spacing"/>
    <w:uiPriority w:val="1"/>
    <w:qFormat/>
    <w:rsid w:val="00CC0825"/>
    <w:pPr>
      <w:spacing w:after="0" w:line="240" w:lineRule="auto"/>
    </w:pPr>
    <w:rPr>
      <w:rFonts w:eastAsiaTheme="minorEastAsia"/>
      <w:lang w:eastAsia="ru-RU"/>
    </w:rPr>
  </w:style>
  <w:style w:type="paragraph" w:customStyle="1" w:styleId="headertext">
    <w:name w:val="headertext"/>
    <w:basedOn w:val="a"/>
    <w:rsid w:val="00EB3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B3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EB3908"/>
  </w:style>
  <w:style w:type="paragraph" w:customStyle="1" w:styleId="HEADERTEXT0">
    <w:name w:val=".HEADERTEXT"/>
    <w:uiPriority w:val="99"/>
    <w:rsid w:val="004F4996"/>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ConsPlusNormal">
    <w:name w:val="ConsPlusNormal"/>
    <w:basedOn w:val="a"/>
    <w:uiPriority w:val="99"/>
    <w:rsid w:val="00543079"/>
    <w:pPr>
      <w:autoSpaceDE w:val="0"/>
      <w:spacing w:after="0" w:line="240" w:lineRule="auto"/>
      <w:ind w:firstLine="720"/>
    </w:pPr>
    <w:rPr>
      <w:rFonts w:ascii="Arial" w:hAnsi="Arial" w:cs="Arial"/>
      <w:sz w:val="20"/>
      <w:szCs w:val="20"/>
      <w:lang w:eastAsia="ru-RU"/>
    </w:rPr>
  </w:style>
  <w:style w:type="paragraph" w:styleId="aa">
    <w:name w:val="Balloon Text"/>
    <w:basedOn w:val="a"/>
    <w:link w:val="ab"/>
    <w:uiPriority w:val="99"/>
    <w:semiHidden/>
    <w:unhideWhenUsed/>
    <w:rsid w:val="000161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6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9223">
      <w:bodyDiv w:val="1"/>
      <w:marLeft w:val="0"/>
      <w:marRight w:val="0"/>
      <w:marTop w:val="0"/>
      <w:marBottom w:val="0"/>
      <w:divBdr>
        <w:top w:val="none" w:sz="0" w:space="0" w:color="auto"/>
        <w:left w:val="none" w:sz="0" w:space="0" w:color="auto"/>
        <w:bottom w:val="none" w:sz="0" w:space="0" w:color="auto"/>
        <w:right w:val="none" w:sz="0" w:space="0" w:color="auto"/>
      </w:divBdr>
    </w:div>
    <w:div w:id="893733986">
      <w:bodyDiv w:val="1"/>
      <w:marLeft w:val="0"/>
      <w:marRight w:val="0"/>
      <w:marTop w:val="0"/>
      <w:marBottom w:val="0"/>
      <w:divBdr>
        <w:top w:val="none" w:sz="0" w:space="0" w:color="auto"/>
        <w:left w:val="none" w:sz="0" w:space="0" w:color="auto"/>
        <w:bottom w:val="none" w:sz="0" w:space="0" w:color="auto"/>
        <w:right w:val="none" w:sz="0" w:space="0" w:color="auto"/>
      </w:divBdr>
    </w:div>
    <w:div w:id="902301983">
      <w:bodyDiv w:val="1"/>
      <w:marLeft w:val="0"/>
      <w:marRight w:val="0"/>
      <w:marTop w:val="0"/>
      <w:marBottom w:val="0"/>
      <w:divBdr>
        <w:top w:val="none" w:sz="0" w:space="0" w:color="auto"/>
        <w:left w:val="none" w:sz="0" w:space="0" w:color="auto"/>
        <w:bottom w:val="none" w:sz="0" w:space="0" w:color="auto"/>
        <w:right w:val="none" w:sz="0" w:space="0" w:color="auto"/>
      </w:divBdr>
    </w:div>
    <w:div w:id="992414375">
      <w:bodyDiv w:val="1"/>
      <w:marLeft w:val="0"/>
      <w:marRight w:val="0"/>
      <w:marTop w:val="0"/>
      <w:marBottom w:val="0"/>
      <w:divBdr>
        <w:top w:val="none" w:sz="0" w:space="0" w:color="auto"/>
        <w:left w:val="none" w:sz="0" w:space="0" w:color="auto"/>
        <w:bottom w:val="none" w:sz="0" w:space="0" w:color="auto"/>
        <w:right w:val="none" w:sz="0" w:space="0" w:color="auto"/>
      </w:divBdr>
    </w:div>
    <w:div w:id="1315527079">
      <w:bodyDiv w:val="1"/>
      <w:marLeft w:val="0"/>
      <w:marRight w:val="0"/>
      <w:marTop w:val="0"/>
      <w:marBottom w:val="0"/>
      <w:divBdr>
        <w:top w:val="none" w:sz="0" w:space="0" w:color="auto"/>
        <w:left w:val="none" w:sz="0" w:space="0" w:color="auto"/>
        <w:bottom w:val="none" w:sz="0" w:space="0" w:color="auto"/>
        <w:right w:val="none" w:sz="0" w:space="0" w:color="auto"/>
      </w:divBdr>
    </w:div>
    <w:div w:id="1424183052">
      <w:bodyDiv w:val="1"/>
      <w:marLeft w:val="0"/>
      <w:marRight w:val="0"/>
      <w:marTop w:val="0"/>
      <w:marBottom w:val="0"/>
      <w:divBdr>
        <w:top w:val="none" w:sz="0" w:space="0" w:color="auto"/>
        <w:left w:val="none" w:sz="0" w:space="0" w:color="auto"/>
        <w:bottom w:val="none" w:sz="0" w:space="0" w:color="auto"/>
        <w:right w:val="none" w:sz="0" w:space="0" w:color="auto"/>
      </w:divBdr>
    </w:div>
    <w:div w:id="1439644466">
      <w:bodyDiv w:val="1"/>
      <w:marLeft w:val="0"/>
      <w:marRight w:val="0"/>
      <w:marTop w:val="0"/>
      <w:marBottom w:val="0"/>
      <w:divBdr>
        <w:top w:val="none" w:sz="0" w:space="0" w:color="auto"/>
        <w:left w:val="none" w:sz="0" w:space="0" w:color="auto"/>
        <w:bottom w:val="none" w:sz="0" w:space="0" w:color="auto"/>
        <w:right w:val="none" w:sz="0" w:space="0" w:color="auto"/>
      </w:divBdr>
    </w:div>
    <w:div w:id="1860385494">
      <w:bodyDiv w:val="1"/>
      <w:marLeft w:val="0"/>
      <w:marRight w:val="0"/>
      <w:marTop w:val="0"/>
      <w:marBottom w:val="0"/>
      <w:divBdr>
        <w:top w:val="none" w:sz="0" w:space="0" w:color="auto"/>
        <w:left w:val="none" w:sz="0" w:space="0" w:color="auto"/>
        <w:bottom w:val="none" w:sz="0" w:space="0" w:color="auto"/>
        <w:right w:val="none" w:sz="0" w:space="0" w:color="auto"/>
      </w:divBdr>
    </w:div>
    <w:div w:id="1887401449">
      <w:bodyDiv w:val="1"/>
      <w:marLeft w:val="0"/>
      <w:marRight w:val="0"/>
      <w:marTop w:val="0"/>
      <w:marBottom w:val="0"/>
      <w:divBdr>
        <w:top w:val="none" w:sz="0" w:space="0" w:color="auto"/>
        <w:left w:val="none" w:sz="0" w:space="0" w:color="auto"/>
        <w:bottom w:val="none" w:sz="0" w:space="0" w:color="auto"/>
        <w:right w:val="none" w:sz="0" w:space="0" w:color="auto"/>
      </w:divBdr>
      <w:divsChild>
        <w:div w:id="1595357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D523-7C2F-4591-A45F-7B4AD723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4238</Words>
  <Characters>24161</Characters>
  <Application>Microsoft Office Word</Application>
  <DocSecurity>4</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Рунец Светлана Викторовна</cp:lastModifiedBy>
  <cp:revision>2</cp:revision>
  <cp:lastPrinted>2019-10-04T12:13:00Z</cp:lastPrinted>
  <dcterms:created xsi:type="dcterms:W3CDTF">2019-12-25T13:54:00Z</dcterms:created>
  <dcterms:modified xsi:type="dcterms:W3CDTF">2019-12-25T13:54:00Z</dcterms:modified>
</cp:coreProperties>
</file>